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jc w:val="center"/>
        <w:rPr>
          <w:rFonts w:ascii="Times New Roman" w:hAnsi="Times New Roman" w:cs="Times New Roman"/>
          <w:sz w:val="24"/>
          <w:szCs w:val="24"/>
        </w:rPr>
      </w:pPr>
      <w:r w:rsidRPr="00D4713E">
        <w:rPr>
          <w:rFonts w:ascii="Times New Roman" w:hAnsi="Times New Roman" w:cs="Times New Roman"/>
          <w:sz w:val="24"/>
          <w:szCs w:val="24"/>
        </w:rPr>
        <w:t>Chapter 9: Case 9-2. Andrew Morton.</w:t>
      </w:r>
    </w:p>
    <w:p w:rsidR="00877598" w:rsidRPr="00D4713E" w:rsidRDefault="00877598" w:rsidP="00D4713E">
      <w:pPr>
        <w:spacing w:line="480" w:lineRule="auto"/>
        <w:jc w:val="center"/>
        <w:rPr>
          <w:rFonts w:ascii="Times New Roman" w:hAnsi="Times New Roman" w:cs="Times New Roman"/>
          <w:sz w:val="24"/>
          <w:szCs w:val="24"/>
        </w:rPr>
      </w:pPr>
      <w:r w:rsidRPr="00D4713E">
        <w:rPr>
          <w:rFonts w:ascii="Times New Roman" w:hAnsi="Times New Roman" w:cs="Times New Roman"/>
          <w:sz w:val="24"/>
          <w:szCs w:val="24"/>
        </w:rPr>
        <w:t>Name.</w:t>
      </w:r>
    </w:p>
    <w:p w:rsidR="00877598" w:rsidRPr="00D4713E" w:rsidRDefault="00877598" w:rsidP="00D4713E">
      <w:pPr>
        <w:spacing w:line="480" w:lineRule="auto"/>
        <w:jc w:val="center"/>
        <w:rPr>
          <w:rFonts w:ascii="Times New Roman" w:hAnsi="Times New Roman" w:cs="Times New Roman"/>
          <w:sz w:val="24"/>
          <w:szCs w:val="24"/>
        </w:rPr>
      </w:pPr>
      <w:r w:rsidRPr="00D4713E">
        <w:rPr>
          <w:rFonts w:ascii="Times New Roman" w:hAnsi="Times New Roman" w:cs="Times New Roman"/>
          <w:sz w:val="24"/>
          <w:szCs w:val="24"/>
        </w:rPr>
        <w:t>Institution.</w:t>
      </w:r>
    </w:p>
    <w:p w:rsidR="00877598" w:rsidRPr="00D4713E" w:rsidRDefault="00877598" w:rsidP="00D4713E">
      <w:pPr>
        <w:spacing w:line="480" w:lineRule="auto"/>
        <w:jc w:val="center"/>
        <w:rPr>
          <w:rFonts w:ascii="Times New Roman" w:hAnsi="Times New Roman" w:cs="Times New Roman"/>
          <w:sz w:val="24"/>
          <w:szCs w:val="24"/>
        </w:rPr>
      </w:pPr>
      <w:r w:rsidRPr="00D4713E">
        <w:rPr>
          <w:rFonts w:ascii="Times New Roman" w:hAnsi="Times New Roman" w:cs="Times New Roman"/>
          <w:sz w:val="24"/>
          <w:szCs w:val="24"/>
        </w:rPr>
        <w:t>Date.</w:t>
      </w: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Pr="00D4713E" w:rsidRDefault="00877598" w:rsidP="00D4713E">
      <w:pPr>
        <w:spacing w:line="480" w:lineRule="auto"/>
        <w:rPr>
          <w:rFonts w:ascii="Times New Roman" w:hAnsi="Times New Roman" w:cs="Times New Roman"/>
          <w:sz w:val="24"/>
          <w:szCs w:val="24"/>
        </w:rPr>
      </w:pPr>
    </w:p>
    <w:p w:rsidR="00877598" w:rsidRDefault="00877598" w:rsidP="00D4713E">
      <w:pPr>
        <w:spacing w:line="480" w:lineRule="auto"/>
        <w:rPr>
          <w:rFonts w:ascii="Times New Roman" w:hAnsi="Times New Roman" w:cs="Times New Roman"/>
          <w:sz w:val="24"/>
          <w:szCs w:val="24"/>
        </w:rPr>
      </w:pPr>
    </w:p>
    <w:p w:rsidR="00D4713E" w:rsidRPr="00D4713E" w:rsidRDefault="00D4713E" w:rsidP="00D4713E">
      <w:pPr>
        <w:spacing w:line="480" w:lineRule="auto"/>
        <w:rPr>
          <w:rFonts w:ascii="Times New Roman" w:hAnsi="Times New Roman" w:cs="Times New Roman"/>
          <w:sz w:val="24"/>
          <w:szCs w:val="24"/>
        </w:rPr>
      </w:pPr>
    </w:p>
    <w:p w:rsidR="003606FC" w:rsidRPr="00D4713E" w:rsidRDefault="003606FC" w:rsidP="00D4713E">
      <w:pPr>
        <w:spacing w:line="480" w:lineRule="auto"/>
        <w:jc w:val="center"/>
        <w:rPr>
          <w:rFonts w:ascii="Times New Roman" w:hAnsi="Times New Roman" w:cs="Times New Roman"/>
          <w:b/>
          <w:sz w:val="24"/>
          <w:szCs w:val="24"/>
        </w:rPr>
      </w:pPr>
      <w:r w:rsidRPr="00D4713E">
        <w:rPr>
          <w:rFonts w:ascii="Times New Roman" w:hAnsi="Times New Roman" w:cs="Times New Roman"/>
          <w:b/>
          <w:sz w:val="24"/>
          <w:szCs w:val="24"/>
        </w:rPr>
        <w:lastRenderedPageBreak/>
        <w:t>Case Analysis.</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The situation is quite complicated and challenging to the management of the entire university since it would subject it to unprecedented risks and expenses. In this context, the faculty member, Peter Goris should have deployed a significant understanding of the order of events since he has a reputable knowledge regarding the Bromine Pentafluoride chemical. From the analytical perspective, Peter’s actions have a lot of implications for the university and its authority. Assuming the position of Andrew Morton, it is clear that Peter Goris was quite ignorant and he betrayed the university’s Low-Value Purchase Order process. In addition to this, the invoice expenses were met in an unpleasing condition which subjected additional threats.</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The case is focused in on measures which can be put in place to deal with the Canada Transport and the Customs Inspectors to sort out the issue with the shipment. Also, it would stage possible remedies for countering prevalence of any other related problem in the future.</w:t>
      </w:r>
    </w:p>
    <w:p w:rsidR="003606FC" w:rsidRPr="00D4713E" w:rsidRDefault="003606FC" w:rsidP="00D4713E">
      <w:pPr>
        <w:spacing w:line="480" w:lineRule="auto"/>
        <w:ind w:firstLine="720"/>
        <w:jc w:val="center"/>
        <w:rPr>
          <w:rFonts w:ascii="Times New Roman" w:hAnsi="Times New Roman" w:cs="Times New Roman"/>
          <w:b/>
          <w:i/>
          <w:sz w:val="24"/>
          <w:szCs w:val="24"/>
        </w:rPr>
      </w:pPr>
      <w:r w:rsidRPr="00D4713E">
        <w:rPr>
          <w:rFonts w:ascii="Times New Roman" w:hAnsi="Times New Roman" w:cs="Times New Roman"/>
          <w:b/>
          <w:i/>
          <w:sz w:val="24"/>
          <w:szCs w:val="24"/>
        </w:rPr>
        <w:t>Dealing with the Bromine Pentafluoride Shipment.</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As reported in the case, Peter Gori’s shipment was being held up in at the customs with goods for other 21 consignees who included individuals and companies who were threatening to call off the shipment under the expense of the port if the issue was not addressed optimally. Arguably, this is sensitive, and it violates the university reputation. The aspect could also end up projecting higher costs to the university starting from penalties, potential fines and other charges from the Canada Customs as well as Transport Canada.</w:t>
      </w:r>
    </w:p>
    <w:p w:rsidR="00D4713E"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 xml:space="preserve">More significantly, the seriousness and sensitivity attached to the matter needed a particular and immediate call of action bearing in mind the predictable effects of Bromine </w:t>
      </w:r>
      <w:r w:rsidRPr="00D4713E">
        <w:rPr>
          <w:rFonts w:ascii="Times New Roman" w:hAnsi="Times New Roman" w:cs="Times New Roman"/>
          <w:sz w:val="24"/>
          <w:szCs w:val="24"/>
        </w:rPr>
        <w:lastRenderedPageBreak/>
        <w:t xml:space="preserve">Pentafluoride as a risk-prone chemical. The concerned university authorities needed to comprehend that, in case of any leakages during the shipment, it could have brought about devastating consequences. For instance, the dangerous nature of the chemical would have caused serious health problems if inhaled. According to the case study, the concerned Canada Custom Authorities were taking necessary measures to combat the issue. </w:t>
      </w:r>
    </w:p>
    <w:p w:rsidR="00D4713E"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 xml:space="preserve">In addition to this, Andrew Morton depicted acute understanding to the issue through sincerity. As evident, Andrew admitted the problem and subjected the shipment to the customs inspectors. The act of the container being isolated did not surprise him; rather he valued that the issue would be sorted out timely. Andrew’s response to the issue is a clear indication that he valued morals in his daily responsibilities. </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In this context, Andrew had been timely informed about the shipment since March 15. He knew the expected costs bit he did not consider a violation of the customs authorities through feigning. He purposely involved the right Canada Customs in advance by telling than the risks attached to the shipment. Although different perceptions might indicate that keeping quite would have been the best escape option, the fact is that the issue would have more devastating risks to the involved parties. They would have been accused of the implications as well as risks of transporting perilous substances knowingly.</w:t>
      </w:r>
    </w:p>
    <w:p w:rsid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 xml:space="preserve">To accurately address the issue, Andrew is required to involve the most reliable parties in the Vancouver to address the mistake, make arrangements with the Customs Inspectors, ensure proper filling of necessary paperwork and documentation. At the Vancouver, he should also ensure accurate packaging and </w:t>
      </w:r>
      <w:r w:rsidR="00D4713E" w:rsidRPr="00D4713E">
        <w:rPr>
          <w:rFonts w:ascii="Times New Roman" w:hAnsi="Times New Roman" w:cs="Times New Roman"/>
          <w:sz w:val="24"/>
          <w:szCs w:val="24"/>
        </w:rPr>
        <w:t>labeling</w:t>
      </w:r>
      <w:r w:rsidRPr="00D4713E">
        <w:rPr>
          <w:rFonts w:ascii="Times New Roman" w:hAnsi="Times New Roman" w:cs="Times New Roman"/>
          <w:sz w:val="24"/>
          <w:szCs w:val="24"/>
        </w:rPr>
        <w:t xml:space="preserve"> of the shipment to sort out the underlying contamination and health risks. </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lastRenderedPageBreak/>
        <w:t>The ease attached to Andrew’s case is that the Bromine Pentafluoride was quite hazardous and the authorities were in great tension with the shipment sitting around the port, and hence they opted the issue to be addressed shortly. More importantly, Andrew has had good linkages with Sheryl Henderson at Transport Canada, and hence this helped to ease the situation. Also, Andrew had an alternative through Melissa Downing who could also aid as per the administrative tasks, considering her position at Vancouver.</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Another valuable course of action is that Andrew could hire a reliable and certified environmental consultant to be responsible for dealing with the Customs Authorities to take an enthusiastic effort to sort the issue regarding deposition of the harmful Bromine Pentafluoride. In addition to this, the issues reacted to penalties, charged and fines at the Transports Canada and the Canada Customs would be settled later on.</w:t>
      </w:r>
    </w:p>
    <w:p w:rsidR="003606FC" w:rsidRPr="00D4713E" w:rsidRDefault="003606FC" w:rsidP="00D4713E">
      <w:pPr>
        <w:spacing w:line="480" w:lineRule="auto"/>
        <w:ind w:firstLine="720"/>
        <w:jc w:val="center"/>
        <w:rPr>
          <w:rFonts w:ascii="Times New Roman" w:hAnsi="Times New Roman" w:cs="Times New Roman"/>
          <w:b/>
          <w:i/>
          <w:sz w:val="24"/>
          <w:szCs w:val="24"/>
        </w:rPr>
      </w:pPr>
      <w:r w:rsidRPr="00D4713E">
        <w:rPr>
          <w:rFonts w:ascii="Times New Roman" w:hAnsi="Times New Roman" w:cs="Times New Roman"/>
          <w:b/>
          <w:i/>
          <w:sz w:val="24"/>
          <w:szCs w:val="24"/>
        </w:rPr>
        <w:t>Addressing future problems.</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The case establishes a significant basis for control policy options to address this threat</w:t>
      </w:r>
      <w:r w:rsidR="00D4713E" w:rsidRPr="00D4713E">
        <w:rPr>
          <w:rFonts w:ascii="Times New Roman" w:hAnsi="Times New Roman" w:cs="Times New Roman"/>
          <w:sz w:val="24"/>
          <w:szCs w:val="24"/>
        </w:rPr>
        <w:t>en</w:t>
      </w:r>
      <w:r w:rsidRPr="00D4713E">
        <w:rPr>
          <w:rFonts w:ascii="Times New Roman" w:hAnsi="Times New Roman" w:cs="Times New Roman"/>
          <w:sz w:val="24"/>
          <w:szCs w:val="24"/>
        </w:rPr>
        <w:t xml:space="preserve">ing action. The following actions can also be copied to prevent any other related activities in the modern day organizations. At first, Andrew should deploy inevitable concerns to the Free On </w:t>
      </w:r>
      <w:r w:rsidR="00D4713E" w:rsidRPr="00D4713E">
        <w:rPr>
          <w:rFonts w:ascii="Times New Roman" w:hAnsi="Times New Roman" w:cs="Times New Roman"/>
          <w:sz w:val="24"/>
          <w:szCs w:val="24"/>
        </w:rPr>
        <w:t>board</w:t>
      </w:r>
      <w:r w:rsidRPr="00D4713E">
        <w:rPr>
          <w:rFonts w:ascii="Times New Roman" w:hAnsi="Times New Roman" w:cs="Times New Roman"/>
          <w:sz w:val="24"/>
          <w:szCs w:val="24"/>
        </w:rPr>
        <w:t xml:space="preserve"> (FOB). Arguably, revising the FOB policies concerning the origin as well as the final destination would help the organization to control such risks effectively. This is through accurate documentation as well as conformance to the outlined transportation laws.</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 xml:space="preserve">In addition to this, the supplier section and approval process should be initiated in the university management. In our case, Peter Goris violated the university LVPO procedures because he did not follow the right channels for confirmation and approval when he gave out the order for Bromine Pentafluoride worth $7,650. Changing the LVPO process would be the most </w:t>
      </w:r>
      <w:r w:rsidRPr="00D4713E">
        <w:rPr>
          <w:rFonts w:ascii="Times New Roman" w:hAnsi="Times New Roman" w:cs="Times New Roman"/>
          <w:sz w:val="24"/>
          <w:szCs w:val="24"/>
        </w:rPr>
        <w:lastRenderedPageBreak/>
        <w:t>effective control option. The system users should be informed about the right process as of the university LVPO guidelines. More significantly, the action can be prevented through the enactment of Purchasing Cards Approval mechanisms features with quality coding to avoid feigning. The organization should define its trusted suppliers.</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In dealing with peter Goris, it would be significant to warn him about the risks associated with his actions. Further, in-service training sessions and education programs should be opted to educate all system users about how to handle hazardous chemical and other materials. Bearing in mind that many system users possess Peter Goris character in the entire university, it could be wise to accommodate him and inform workers about the list of selected suppliers and the need to adhere to the established purchasing processes.</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Similar cases have been witnessed in</w:t>
      </w:r>
      <w:r w:rsidR="00D4713E" w:rsidRPr="00D4713E">
        <w:rPr>
          <w:rFonts w:ascii="Times New Roman" w:hAnsi="Times New Roman" w:cs="Times New Roman"/>
          <w:sz w:val="24"/>
          <w:szCs w:val="24"/>
        </w:rPr>
        <w:t xml:space="preserve"> </w:t>
      </w:r>
      <w:r w:rsidRPr="00D4713E">
        <w:rPr>
          <w:rFonts w:ascii="Times New Roman" w:hAnsi="Times New Roman" w:cs="Times New Roman"/>
          <w:sz w:val="24"/>
          <w:szCs w:val="24"/>
        </w:rPr>
        <w:t xml:space="preserve">different major ports. The incidences are more likely to cause huge expenses to the concerned institutions, and hence Andrews’ case would cost a lot of money. Arguably, Andrew should liaise with George Kerr who is the Director of Purchasing to give him careful guidance and approval to spend something concerning the incidence. It should range $10000 to $12,000 assumedly. Melissa should also play a big role by recommending the customs inspectors in the Vancouver to help ease the case. </w:t>
      </w:r>
    </w:p>
    <w:p w:rsidR="003606FC" w:rsidRPr="00D4713E" w:rsidRDefault="003606FC" w:rsidP="00D4713E">
      <w:pPr>
        <w:spacing w:line="480" w:lineRule="auto"/>
        <w:ind w:firstLine="720"/>
        <w:rPr>
          <w:rFonts w:ascii="Times New Roman" w:hAnsi="Times New Roman" w:cs="Times New Roman"/>
          <w:sz w:val="24"/>
          <w:szCs w:val="24"/>
        </w:rPr>
      </w:pPr>
      <w:r w:rsidRPr="00D4713E">
        <w:rPr>
          <w:rFonts w:ascii="Times New Roman" w:hAnsi="Times New Roman" w:cs="Times New Roman"/>
          <w:sz w:val="24"/>
          <w:szCs w:val="24"/>
        </w:rPr>
        <w:t>After meeting the resulting expenses, it could be good for Andrew to ensure damage control practices. This is by liaising with resourceful individuals like Jason Kohl, informing him concerning the event and tak</w:t>
      </w:r>
      <w:r w:rsidR="00D4713E" w:rsidRPr="00D4713E">
        <w:rPr>
          <w:rFonts w:ascii="Times New Roman" w:hAnsi="Times New Roman" w:cs="Times New Roman"/>
          <w:sz w:val="24"/>
          <w:szCs w:val="24"/>
        </w:rPr>
        <w:t>ing</w:t>
      </w:r>
      <w:r w:rsidRPr="00D4713E">
        <w:rPr>
          <w:rFonts w:ascii="Times New Roman" w:hAnsi="Times New Roman" w:cs="Times New Roman"/>
          <w:sz w:val="24"/>
          <w:szCs w:val="24"/>
        </w:rPr>
        <w:t xml:space="preserve"> the most appropriate move. Before making a phone call to Jason, Andrew should outline the best actions for authorization. The call should be made when Jason is in his office. During the conversation, Andrew needs to </w:t>
      </w:r>
      <w:r w:rsidR="00877598" w:rsidRPr="00D4713E">
        <w:rPr>
          <w:rFonts w:ascii="Times New Roman" w:hAnsi="Times New Roman" w:cs="Times New Roman"/>
          <w:sz w:val="24"/>
          <w:szCs w:val="24"/>
        </w:rPr>
        <w:t>emphasize</w:t>
      </w:r>
      <w:r w:rsidRPr="00D4713E">
        <w:rPr>
          <w:rFonts w:ascii="Times New Roman" w:hAnsi="Times New Roman" w:cs="Times New Roman"/>
          <w:sz w:val="24"/>
          <w:szCs w:val="24"/>
        </w:rPr>
        <w:t xml:space="preserve"> the effectiveness of his actions to Jason. This is by confirming to him that the actions will solve the issue optimally.</w:t>
      </w:r>
    </w:p>
    <w:sectPr w:rsidR="003606FC" w:rsidRPr="00D4713E" w:rsidSect="00D4713E">
      <w:headerReference w:type="default" r:id="rId6"/>
      <w:headerReference w:type="first" r:id="rId7"/>
      <w:pgSz w:w="12240" w:h="15840"/>
      <w:pgMar w:top="1440" w:right="1440" w:bottom="1584"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7E00" w:rsidRDefault="003A7E00" w:rsidP="00877598">
      <w:pPr>
        <w:spacing w:after="0" w:line="240" w:lineRule="auto"/>
      </w:pPr>
      <w:r>
        <w:separator/>
      </w:r>
    </w:p>
  </w:endnote>
  <w:endnote w:type="continuationSeparator" w:id="1">
    <w:p w:rsidR="003A7E00" w:rsidRDefault="003A7E00" w:rsidP="008775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7E00" w:rsidRDefault="003A7E00" w:rsidP="00877598">
      <w:pPr>
        <w:spacing w:after="0" w:line="240" w:lineRule="auto"/>
      </w:pPr>
      <w:r>
        <w:separator/>
      </w:r>
    </w:p>
  </w:footnote>
  <w:footnote w:type="continuationSeparator" w:id="1">
    <w:p w:rsidR="003A7E00" w:rsidRDefault="003A7E00" w:rsidP="008775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98" w:rsidRPr="00877598" w:rsidRDefault="00877598">
    <w:pPr>
      <w:pStyle w:val="Header"/>
      <w:rPr>
        <w:rFonts w:ascii="Times New Roman" w:hAnsi="Times New Roman" w:cs="Times New Roman"/>
        <w:sz w:val="24"/>
        <w:szCs w:val="24"/>
      </w:rPr>
    </w:pPr>
    <w:r w:rsidRPr="00877598">
      <w:rPr>
        <w:rFonts w:ascii="Times New Roman" w:hAnsi="Times New Roman" w:cs="Times New Roman"/>
        <w:sz w:val="24"/>
        <w:szCs w:val="24"/>
      </w:rPr>
      <w:t>CHAPTER 9: CASE 9-2. ANDREW MORTON</w:t>
    </w:r>
    <w:r w:rsidRPr="00877598">
      <w:rPr>
        <w:rFonts w:ascii="Times New Roman" w:hAnsi="Times New Roman" w:cs="Times New Roman"/>
        <w:sz w:val="24"/>
        <w:szCs w:val="24"/>
      </w:rPr>
      <w:tab/>
    </w:r>
    <w:r w:rsidRPr="00877598">
      <w:rPr>
        <w:rFonts w:ascii="Times New Roman" w:hAnsi="Times New Roman" w:cs="Times New Roman"/>
        <w:sz w:val="24"/>
        <w:szCs w:val="24"/>
      </w:rPr>
      <w:tab/>
    </w:r>
    <w:sdt>
      <w:sdtPr>
        <w:rPr>
          <w:rFonts w:ascii="Times New Roman" w:hAnsi="Times New Roman" w:cs="Times New Roman"/>
          <w:sz w:val="24"/>
          <w:szCs w:val="24"/>
        </w:rPr>
        <w:id w:val="-868447171"/>
        <w:docPartObj>
          <w:docPartGallery w:val="Page Numbers (Top of Page)"/>
          <w:docPartUnique/>
        </w:docPartObj>
      </w:sdtPr>
      <w:sdtEndPr>
        <w:rPr>
          <w:noProof/>
        </w:rPr>
      </w:sdtEndPr>
      <w:sdtContent>
        <w:r w:rsidR="00CC79DD" w:rsidRPr="00877598">
          <w:rPr>
            <w:rFonts w:ascii="Times New Roman" w:hAnsi="Times New Roman" w:cs="Times New Roman"/>
            <w:sz w:val="24"/>
            <w:szCs w:val="24"/>
          </w:rPr>
          <w:fldChar w:fldCharType="begin"/>
        </w:r>
        <w:r w:rsidRPr="00877598">
          <w:rPr>
            <w:rFonts w:ascii="Times New Roman" w:hAnsi="Times New Roman" w:cs="Times New Roman"/>
            <w:sz w:val="24"/>
            <w:szCs w:val="24"/>
          </w:rPr>
          <w:instrText xml:space="preserve"> PAGE   \* MERGEFORMAT </w:instrText>
        </w:r>
        <w:r w:rsidR="00CC79DD" w:rsidRPr="00877598">
          <w:rPr>
            <w:rFonts w:ascii="Times New Roman" w:hAnsi="Times New Roman" w:cs="Times New Roman"/>
            <w:sz w:val="24"/>
            <w:szCs w:val="24"/>
          </w:rPr>
          <w:fldChar w:fldCharType="separate"/>
        </w:r>
        <w:r w:rsidR="00D4713E">
          <w:rPr>
            <w:rFonts w:ascii="Times New Roman" w:hAnsi="Times New Roman" w:cs="Times New Roman"/>
            <w:noProof/>
            <w:sz w:val="24"/>
            <w:szCs w:val="24"/>
          </w:rPr>
          <w:t>2</w:t>
        </w:r>
        <w:r w:rsidR="00CC79DD" w:rsidRPr="00877598">
          <w:rPr>
            <w:rFonts w:ascii="Times New Roman" w:hAnsi="Times New Roman" w:cs="Times New Roman"/>
            <w:noProof/>
            <w:sz w:val="24"/>
            <w:szCs w:val="24"/>
          </w:rPr>
          <w:fldChar w:fldCharType="end"/>
        </w:r>
      </w:sdtContent>
    </w:sdt>
  </w:p>
  <w:p w:rsidR="00877598" w:rsidRPr="00877598" w:rsidRDefault="0087759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2188280"/>
      <w:docPartObj>
        <w:docPartGallery w:val="Page Numbers (Top of Page)"/>
        <w:docPartUnique/>
      </w:docPartObj>
    </w:sdtPr>
    <w:sdtEndPr>
      <w:rPr>
        <w:noProof/>
      </w:rPr>
    </w:sdtEndPr>
    <w:sdtContent>
      <w:p w:rsidR="00877598" w:rsidRPr="00877598" w:rsidRDefault="00877598" w:rsidP="00877598">
        <w:pPr>
          <w:rPr>
            <w:rFonts w:ascii="Times New Roman" w:hAnsi="Times New Roman" w:cs="Times New Roman"/>
            <w:sz w:val="24"/>
            <w:szCs w:val="24"/>
          </w:rPr>
        </w:pPr>
        <w:r w:rsidRPr="00877598">
          <w:rPr>
            <w:rFonts w:ascii="Times New Roman" w:hAnsi="Times New Roman" w:cs="Times New Roman"/>
            <w:sz w:val="24"/>
            <w:szCs w:val="24"/>
          </w:rPr>
          <w:t>Running Head: CHAPTER 9: CASE 9-2. ANDREW MORTON.</w:t>
        </w:r>
        <w:r w:rsidRPr="00877598">
          <w:rPr>
            <w:rFonts w:ascii="Times New Roman" w:hAnsi="Times New Roman" w:cs="Times New Roman"/>
            <w:sz w:val="24"/>
            <w:szCs w:val="24"/>
          </w:rPr>
          <w:tab/>
        </w:r>
        <w:r w:rsidRPr="00877598">
          <w:rPr>
            <w:rFonts w:ascii="Times New Roman" w:hAnsi="Times New Roman" w:cs="Times New Roman"/>
            <w:sz w:val="24"/>
            <w:szCs w:val="24"/>
          </w:rPr>
          <w:tab/>
        </w:r>
        <w:r w:rsidRPr="00877598">
          <w:rPr>
            <w:rFonts w:ascii="Times New Roman" w:hAnsi="Times New Roman" w:cs="Times New Roman"/>
            <w:sz w:val="24"/>
            <w:szCs w:val="24"/>
          </w:rPr>
          <w:tab/>
        </w:r>
        <w:r w:rsidRPr="00877598">
          <w:rPr>
            <w:rFonts w:ascii="Times New Roman" w:hAnsi="Times New Roman" w:cs="Times New Roman"/>
            <w:sz w:val="24"/>
            <w:szCs w:val="24"/>
          </w:rPr>
          <w:tab/>
        </w:r>
        <w:r w:rsidR="00CC79DD" w:rsidRPr="00877598">
          <w:rPr>
            <w:rFonts w:ascii="Times New Roman" w:hAnsi="Times New Roman" w:cs="Times New Roman"/>
            <w:sz w:val="24"/>
            <w:szCs w:val="24"/>
          </w:rPr>
          <w:fldChar w:fldCharType="begin"/>
        </w:r>
        <w:r w:rsidRPr="00877598">
          <w:rPr>
            <w:rFonts w:ascii="Times New Roman" w:hAnsi="Times New Roman" w:cs="Times New Roman"/>
            <w:sz w:val="24"/>
            <w:szCs w:val="24"/>
          </w:rPr>
          <w:instrText xml:space="preserve"> PAGE   \* MERGEFORMAT </w:instrText>
        </w:r>
        <w:r w:rsidR="00CC79DD" w:rsidRPr="00877598">
          <w:rPr>
            <w:rFonts w:ascii="Times New Roman" w:hAnsi="Times New Roman" w:cs="Times New Roman"/>
            <w:sz w:val="24"/>
            <w:szCs w:val="24"/>
          </w:rPr>
          <w:fldChar w:fldCharType="separate"/>
        </w:r>
        <w:r w:rsidR="00D4713E">
          <w:rPr>
            <w:rFonts w:ascii="Times New Roman" w:hAnsi="Times New Roman" w:cs="Times New Roman"/>
            <w:noProof/>
            <w:sz w:val="24"/>
            <w:szCs w:val="24"/>
          </w:rPr>
          <w:t>1</w:t>
        </w:r>
        <w:r w:rsidR="00CC79DD" w:rsidRPr="00877598">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D60196"/>
    <w:rsid w:val="00060406"/>
    <w:rsid w:val="00114AEC"/>
    <w:rsid w:val="001662B1"/>
    <w:rsid w:val="001E7C87"/>
    <w:rsid w:val="002A7A38"/>
    <w:rsid w:val="00301E8C"/>
    <w:rsid w:val="00312469"/>
    <w:rsid w:val="003606FC"/>
    <w:rsid w:val="003A7E00"/>
    <w:rsid w:val="004C168A"/>
    <w:rsid w:val="00877598"/>
    <w:rsid w:val="00946757"/>
    <w:rsid w:val="00AD4159"/>
    <w:rsid w:val="00B006C3"/>
    <w:rsid w:val="00B727CC"/>
    <w:rsid w:val="00CA4B2A"/>
    <w:rsid w:val="00CC79DD"/>
    <w:rsid w:val="00D14714"/>
    <w:rsid w:val="00D4713E"/>
    <w:rsid w:val="00D60196"/>
    <w:rsid w:val="00FA536E"/>
    <w:rsid w:val="00FB23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19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598"/>
  </w:style>
  <w:style w:type="paragraph" w:styleId="Footer">
    <w:name w:val="footer"/>
    <w:basedOn w:val="Normal"/>
    <w:link w:val="FooterChar"/>
    <w:uiPriority w:val="99"/>
    <w:unhideWhenUsed/>
    <w:rsid w:val="00877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5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2018-05-07T14:10:00Z</dcterms:created>
  <dcterms:modified xsi:type="dcterms:W3CDTF">2018-05-07T14:10:00Z</dcterms:modified>
</cp:coreProperties>
</file>